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C0" w:rsidRPr="00E103C0" w:rsidRDefault="00E103C0" w:rsidP="00E103C0">
      <w:pPr>
        <w:shd w:val="clear" w:color="auto" w:fill="F7F7F7"/>
        <w:spacing w:before="100" w:beforeAutospacing="1" w:after="300"/>
        <w:ind w:firstLine="0"/>
        <w:jc w:val="left"/>
        <w:outlineLvl w:val="0"/>
        <w:rPr>
          <w:rFonts w:eastAsia="Times New Roman"/>
          <w:b/>
          <w:bCs/>
          <w:color w:val="333333"/>
          <w:kern w:val="36"/>
          <w:sz w:val="33"/>
          <w:szCs w:val="33"/>
          <w:lang w:eastAsia="ru-RU"/>
        </w:rPr>
      </w:pPr>
      <w:r w:rsidRPr="00E103C0">
        <w:rPr>
          <w:rFonts w:eastAsia="Times New Roman"/>
          <w:b/>
          <w:bCs/>
          <w:color w:val="333333"/>
          <w:kern w:val="36"/>
          <w:sz w:val="33"/>
          <w:szCs w:val="33"/>
          <w:lang w:eastAsia="ru-RU"/>
        </w:rPr>
        <w:t>В 2018 году челябинские бизнесмены будут чаще участвовать в закупках</w:t>
      </w:r>
    </w:p>
    <w:p w:rsidR="00E103C0" w:rsidRPr="00E103C0" w:rsidRDefault="00E103C0" w:rsidP="00E103C0">
      <w:pPr>
        <w:shd w:val="clear" w:color="auto" w:fill="F7F7F7"/>
        <w:spacing w:before="330" w:after="330" w:line="330" w:lineRule="atLeast"/>
        <w:ind w:firstLine="0"/>
        <w:jc w:val="right"/>
        <w:rPr>
          <w:rFonts w:eastAsia="Times New Roman"/>
          <w:color w:val="332B22"/>
          <w:sz w:val="24"/>
          <w:szCs w:val="24"/>
          <w:lang w:eastAsia="ru-RU"/>
        </w:rPr>
      </w:pPr>
      <w:bookmarkStart w:id="0" w:name="_GoBack"/>
      <w:bookmarkEnd w:id="0"/>
      <w:r w:rsidRPr="00E103C0">
        <w:rPr>
          <w:rFonts w:ascii="Verdana" w:eastAsia="Times New Roman" w:hAnsi="Verdana"/>
          <w:color w:val="332B22"/>
          <w:sz w:val="18"/>
          <w:szCs w:val="18"/>
          <w:lang w:eastAsia="ru-RU"/>
        </w:rPr>
        <w:t>Новости компаний</w:t>
      </w:r>
    </w:p>
    <w:p w:rsidR="00E103C0" w:rsidRPr="00E103C0" w:rsidRDefault="00E103C0" w:rsidP="00E103C0">
      <w:pPr>
        <w:shd w:val="clear" w:color="auto" w:fill="F7F7F7"/>
        <w:spacing w:before="330" w:after="330" w:line="330" w:lineRule="atLeast"/>
        <w:ind w:firstLine="0"/>
        <w:rPr>
          <w:rFonts w:eastAsia="Times New Roman"/>
          <w:color w:val="332B22"/>
          <w:sz w:val="24"/>
          <w:szCs w:val="24"/>
          <w:lang w:eastAsia="ru-RU"/>
        </w:rPr>
      </w:pPr>
      <w:r w:rsidRPr="00E103C0">
        <w:rPr>
          <w:rFonts w:eastAsia="Times New Roman"/>
          <w:color w:val="332B22"/>
          <w:sz w:val="24"/>
          <w:szCs w:val="24"/>
          <w:lang w:eastAsia="ru-RU"/>
        </w:rPr>
        <w:t>В 2018 году малому и среднему бизнесу стало доступно больше тендеров. Вступили в силу поправки в закон, которые расширяют перечень заказчиков, обязанных закупать часть товаров и услуг у предприятий МСБ (малого и среднего бизнеса). По оценке государственной «Корпорации МСП», благодаря этому количество потенциальных заказчиков для МСБ выросло более чем в три раза. По прогнозу, российский малый и средний бизнес в 2018 году получит до 41% заказов крупных компаний на общую сумму более 3 триллионов рублей.</w:t>
      </w:r>
    </w:p>
    <w:p w:rsidR="00E103C0" w:rsidRPr="00E103C0" w:rsidRDefault="00E103C0" w:rsidP="00E103C0">
      <w:pPr>
        <w:shd w:val="clear" w:color="auto" w:fill="F7F7F7"/>
        <w:ind w:firstLine="0"/>
        <w:rPr>
          <w:rFonts w:eastAsia="Times New Roman"/>
          <w:color w:val="000000"/>
          <w:sz w:val="21"/>
          <w:szCs w:val="21"/>
          <w:lang w:eastAsia="ru-RU"/>
        </w:rPr>
      </w:pPr>
      <w:r w:rsidRPr="00E103C0">
        <w:rPr>
          <w:rFonts w:eastAsia="Times New Roman"/>
          <w:noProof/>
          <w:color w:val="000000"/>
          <w:sz w:val="21"/>
          <w:szCs w:val="21"/>
          <w:lang w:eastAsia="ru-RU"/>
        </w:rPr>
        <w:drawing>
          <wp:inline distT="0" distB="0" distL="0" distR="0" wp14:anchorId="31C1C1AF" wp14:editId="713012F7">
            <wp:extent cx="8630285" cy="5445125"/>
            <wp:effectExtent l="0" t="0" r="0" b="3175"/>
            <wp:docPr id="1" name="Рисунок 1" descr="https://z11.d.sdska.ru/2-z11-a54ed56e-3eff-421a-8c18-983fa34cc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11.d.sdska.ru/2-z11-a54ed56e-3eff-421a-8c18-983fa34cc9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0285" cy="5445125"/>
                    </a:xfrm>
                    <a:prstGeom prst="rect">
                      <a:avLst/>
                    </a:prstGeom>
                    <a:noFill/>
                    <a:ln>
                      <a:noFill/>
                    </a:ln>
                  </pic:spPr>
                </pic:pic>
              </a:graphicData>
            </a:graphic>
          </wp:inline>
        </w:drawing>
      </w:r>
    </w:p>
    <w:p w:rsidR="00E103C0" w:rsidRPr="00E103C0" w:rsidRDefault="00E103C0" w:rsidP="00E103C0">
      <w:pPr>
        <w:shd w:val="clear" w:color="auto" w:fill="F7F7F7"/>
        <w:spacing w:before="330" w:after="330" w:line="330" w:lineRule="atLeast"/>
        <w:ind w:firstLine="0"/>
        <w:rPr>
          <w:rFonts w:eastAsia="Times New Roman"/>
          <w:color w:val="332B22"/>
          <w:sz w:val="24"/>
          <w:szCs w:val="24"/>
          <w:lang w:eastAsia="ru-RU"/>
        </w:rPr>
      </w:pPr>
      <w:r w:rsidRPr="00E103C0">
        <w:rPr>
          <w:rFonts w:eastAsia="Times New Roman"/>
          <w:color w:val="332B22"/>
          <w:sz w:val="24"/>
          <w:szCs w:val="24"/>
          <w:lang w:eastAsia="ru-RU"/>
        </w:rPr>
        <w:t xml:space="preserve">О том, как малому бизнесу по максимуму использовать новые возможности, рассказала руководитель южно-уральского филиала </w:t>
      </w:r>
      <w:proofErr w:type="spellStart"/>
      <w:r w:rsidRPr="00E103C0">
        <w:rPr>
          <w:rFonts w:eastAsia="Times New Roman"/>
          <w:color w:val="332B22"/>
          <w:sz w:val="24"/>
          <w:szCs w:val="24"/>
          <w:lang w:eastAsia="ru-RU"/>
        </w:rPr>
        <w:t>УБРиР</w:t>
      </w:r>
      <w:proofErr w:type="spellEnd"/>
      <w:r w:rsidRPr="00E103C0">
        <w:rPr>
          <w:rFonts w:eastAsia="Times New Roman"/>
          <w:color w:val="332B22"/>
          <w:sz w:val="24"/>
          <w:szCs w:val="24"/>
          <w:lang w:eastAsia="ru-RU"/>
        </w:rPr>
        <w:t xml:space="preserve"> Галина Родина:</w:t>
      </w:r>
    </w:p>
    <w:p w:rsidR="00E103C0" w:rsidRPr="00E103C0" w:rsidRDefault="00E103C0" w:rsidP="00E103C0">
      <w:pPr>
        <w:shd w:val="clear" w:color="auto" w:fill="F7F7F7"/>
        <w:spacing w:before="330" w:after="330" w:line="330" w:lineRule="atLeast"/>
        <w:ind w:firstLine="0"/>
        <w:rPr>
          <w:rFonts w:eastAsia="Times New Roman"/>
          <w:color w:val="332B22"/>
          <w:sz w:val="24"/>
          <w:szCs w:val="24"/>
          <w:lang w:eastAsia="ru-RU"/>
        </w:rPr>
      </w:pPr>
      <w:r w:rsidRPr="00E103C0">
        <w:rPr>
          <w:rFonts w:eastAsia="Times New Roman"/>
          <w:color w:val="332B22"/>
          <w:sz w:val="24"/>
          <w:szCs w:val="24"/>
          <w:lang w:eastAsia="ru-RU"/>
        </w:rPr>
        <w:lastRenderedPageBreak/>
        <w:t>— Предпринимателям теперь доступно больше конкурсов. Как побеждать в тендерах и на постоянной основе зарабатывать на них? Важно быть уверенным в исполнении обязательств по тендеру. В любом конкурсе требуется финансово обеспечить заявку и подтвердить исполнение контракта. Чтобы не тратить деньги компании, воспользуйтесь средствами банка. Вот несколько вариантов:</w:t>
      </w:r>
    </w:p>
    <w:p w:rsidR="00E103C0" w:rsidRPr="00E103C0" w:rsidRDefault="00E103C0" w:rsidP="00E103C0">
      <w:pPr>
        <w:shd w:val="clear" w:color="auto" w:fill="F7F7F7"/>
        <w:spacing w:before="330" w:after="330" w:line="330" w:lineRule="atLeast"/>
        <w:ind w:firstLine="0"/>
        <w:rPr>
          <w:rFonts w:eastAsia="Times New Roman"/>
          <w:color w:val="332B22"/>
          <w:sz w:val="24"/>
          <w:szCs w:val="24"/>
          <w:lang w:eastAsia="ru-RU"/>
        </w:rPr>
      </w:pPr>
      <w:r w:rsidRPr="00E103C0">
        <w:rPr>
          <w:rFonts w:eastAsia="Times New Roman"/>
          <w:color w:val="332B22"/>
          <w:sz w:val="24"/>
          <w:szCs w:val="24"/>
          <w:lang w:eastAsia="ru-RU"/>
        </w:rPr>
        <w:t xml:space="preserve">1. Банковская гарантия. Гарантия — инструмент, который используется под конкретную задачу: подтверждение участия в тендере, либо обеспечение обязательств по контракту. Гарантия подойдет для коммерческих и государственных закупок по 44-ФЗ, 223-ФЗ, 615-ПП. В </w:t>
      </w:r>
      <w:proofErr w:type="spellStart"/>
      <w:r w:rsidRPr="00E103C0">
        <w:rPr>
          <w:rFonts w:eastAsia="Times New Roman"/>
          <w:color w:val="332B22"/>
          <w:sz w:val="24"/>
          <w:szCs w:val="24"/>
          <w:lang w:eastAsia="ru-RU"/>
        </w:rPr>
        <w:t>УБРиР</w:t>
      </w:r>
      <w:proofErr w:type="spellEnd"/>
      <w:r w:rsidRPr="00E103C0">
        <w:rPr>
          <w:rFonts w:eastAsia="Times New Roman"/>
          <w:color w:val="332B22"/>
          <w:sz w:val="24"/>
          <w:szCs w:val="24"/>
          <w:lang w:eastAsia="ru-RU"/>
        </w:rPr>
        <w:t xml:space="preserve"> это </w:t>
      </w:r>
      <w:hyperlink r:id="rId6" w:tgtFrame="_blank" w:history="1">
        <w:r w:rsidRPr="00E103C0">
          <w:rPr>
            <w:rFonts w:eastAsia="Times New Roman"/>
            <w:color w:val="333333"/>
            <w:sz w:val="24"/>
            <w:szCs w:val="24"/>
            <w:u w:val="single"/>
            <w:lang w:eastAsia="ru-RU"/>
          </w:rPr>
          <w:t>гарантия «Контрактная»</w:t>
        </w:r>
      </w:hyperlink>
      <w:r w:rsidRPr="00E103C0">
        <w:rPr>
          <w:rFonts w:eastAsia="Times New Roman"/>
          <w:color w:val="332B22"/>
          <w:sz w:val="24"/>
          <w:szCs w:val="24"/>
          <w:lang w:eastAsia="ru-RU"/>
        </w:rPr>
        <w:t> на сумму до 30 миллионов рублей.</w:t>
      </w:r>
    </w:p>
    <w:p w:rsidR="00E103C0" w:rsidRPr="00E103C0" w:rsidRDefault="00E103C0" w:rsidP="00E103C0">
      <w:pPr>
        <w:shd w:val="clear" w:color="auto" w:fill="F7F7F7"/>
        <w:spacing w:before="330" w:after="330" w:line="330" w:lineRule="atLeast"/>
        <w:ind w:firstLine="0"/>
        <w:rPr>
          <w:rFonts w:eastAsia="Times New Roman"/>
          <w:color w:val="332B22"/>
          <w:sz w:val="24"/>
          <w:szCs w:val="24"/>
          <w:lang w:eastAsia="ru-RU"/>
        </w:rPr>
      </w:pPr>
      <w:r w:rsidRPr="00E103C0">
        <w:rPr>
          <w:rFonts w:eastAsia="Times New Roman"/>
          <w:color w:val="332B22"/>
          <w:sz w:val="24"/>
          <w:szCs w:val="24"/>
          <w:lang w:eastAsia="ru-RU"/>
        </w:rPr>
        <w:t>Предпринимателям, которые регулярно участвуют в коммерческих конкурсах, выгодно оформить пакет услуг «Контрактный». Он оформляется один раз на три года, после чего предприниматель может получать гарантию под интересующий тендер всего за 24 часа. Для оформления гарантии нужно </w:t>
      </w:r>
      <w:hyperlink r:id="rId7" w:tgtFrame="_blank" w:history="1">
        <w:r w:rsidRPr="00E103C0">
          <w:rPr>
            <w:rFonts w:eastAsia="Times New Roman"/>
            <w:color w:val="333333"/>
            <w:sz w:val="24"/>
            <w:szCs w:val="24"/>
            <w:u w:val="single"/>
            <w:lang w:eastAsia="ru-RU"/>
          </w:rPr>
          <w:t>отправить заявку на сайте банка</w:t>
        </w:r>
      </w:hyperlink>
      <w:r w:rsidRPr="00E103C0">
        <w:rPr>
          <w:rFonts w:eastAsia="Times New Roman"/>
          <w:color w:val="332B22"/>
          <w:sz w:val="24"/>
          <w:szCs w:val="24"/>
          <w:lang w:eastAsia="ru-RU"/>
        </w:rPr>
        <w:t>.</w:t>
      </w:r>
    </w:p>
    <w:p w:rsidR="00E103C0" w:rsidRPr="00E103C0" w:rsidRDefault="00E103C0" w:rsidP="00E103C0">
      <w:pPr>
        <w:shd w:val="clear" w:color="auto" w:fill="F7F7F7"/>
        <w:spacing w:before="330" w:after="330" w:line="330" w:lineRule="atLeast"/>
        <w:ind w:firstLine="0"/>
        <w:rPr>
          <w:rFonts w:eastAsia="Times New Roman"/>
          <w:color w:val="332B22"/>
          <w:sz w:val="24"/>
          <w:szCs w:val="24"/>
          <w:lang w:eastAsia="ru-RU"/>
        </w:rPr>
      </w:pPr>
      <w:r w:rsidRPr="00E103C0">
        <w:rPr>
          <w:rFonts w:eastAsia="Times New Roman"/>
          <w:color w:val="332B22"/>
          <w:sz w:val="24"/>
          <w:szCs w:val="24"/>
          <w:lang w:eastAsia="ru-RU"/>
        </w:rPr>
        <w:t>2. Обеспечение путем внесения денежных средств. В таких случаях мы предлагаем кредит «Обеспечительный» до 30 миллионов рублей.</w:t>
      </w:r>
    </w:p>
    <w:p w:rsidR="00E103C0" w:rsidRPr="00E103C0" w:rsidRDefault="00E103C0" w:rsidP="00E103C0">
      <w:pPr>
        <w:shd w:val="clear" w:color="auto" w:fill="F7F7F7"/>
        <w:spacing w:before="330" w:after="330" w:line="330" w:lineRule="atLeast"/>
        <w:ind w:firstLine="0"/>
        <w:rPr>
          <w:rFonts w:eastAsia="Times New Roman"/>
          <w:color w:val="332B22"/>
          <w:sz w:val="24"/>
          <w:szCs w:val="24"/>
          <w:lang w:eastAsia="ru-RU"/>
        </w:rPr>
      </w:pPr>
      <w:r w:rsidRPr="00E103C0">
        <w:rPr>
          <w:rFonts w:eastAsia="Times New Roman"/>
          <w:color w:val="332B22"/>
          <w:sz w:val="24"/>
          <w:szCs w:val="24"/>
          <w:lang w:eastAsia="ru-RU"/>
        </w:rPr>
        <w:t>Это более гибкий инструмент, чем гарантия. С помощью кредитных средств удобно решать сразу несколько связанных с тендером задач. Например, обеспечить заявку в конкурсе, подтвердить исполнение обязательств по выигранному контракту и профинансировать ход его выполнения.</w:t>
      </w:r>
    </w:p>
    <w:p w:rsidR="00E103C0" w:rsidRPr="00E103C0" w:rsidRDefault="00E103C0" w:rsidP="00E103C0">
      <w:pPr>
        <w:shd w:val="clear" w:color="auto" w:fill="F7F7F7"/>
        <w:spacing w:before="330" w:after="330" w:line="330" w:lineRule="atLeast"/>
        <w:ind w:firstLine="0"/>
        <w:rPr>
          <w:rFonts w:eastAsia="Times New Roman"/>
          <w:color w:val="332B22"/>
          <w:sz w:val="24"/>
          <w:szCs w:val="24"/>
          <w:lang w:eastAsia="ru-RU"/>
        </w:rPr>
      </w:pPr>
      <w:proofErr w:type="gramStart"/>
      <w:r w:rsidRPr="00E103C0">
        <w:rPr>
          <w:rFonts w:eastAsia="Times New Roman"/>
          <w:color w:val="332B22"/>
          <w:sz w:val="24"/>
          <w:szCs w:val="24"/>
          <w:lang w:eastAsia="ru-RU"/>
        </w:rPr>
        <w:t>Кредит</w:t>
      </w:r>
      <w:proofErr w:type="gramEnd"/>
      <w:r w:rsidRPr="00E103C0">
        <w:rPr>
          <w:rFonts w:eastAsia="Times New Roman"/>
          <w:color w:val="332B22"/>
          <w:sz w:val="24"/>
          <w:szCs w:val="24"/>
          <w:lang w:eastAsia="ru-RU"/>
        </w:rPr>
        <w:t xml:space="preserve"> возможно оформить без залога на срок до двух лет. Процентная ставка от 13% устанавливается в зависимости от наличия залога и опыта предпринимателя в тендерах. Чтобы оформить кредит, нужно </w:t>
      </w:r>
      <w:hyperlink r:id="rId8" w:tgtFrame="_blank" w:history="1">
        <w:r w:rsidRPr="00E103C0">
          <w:rPr>
            <w:rFonts w:eastAsia="Times New Roman"/>
            <w:color w:val="333333"/>
            <w:sz w:val="24"/>
            <w:szCs w:val="24"/>
            <w:u w:val="single"/>
            <w:lang w:eastAsia="ru-RU"/>
          </w:rPr>
          <w:t>обратиться в ближайший офис</w:t>
        </w:r>
      </w:hyperlink>
      <w:r w:rsidRPr="00E103C0">
        <w:rPr>
          <w:rFonts w:eastAsia="Times New Roman"/>
          <w:color w:val="332B22"/>
          <w:sz w:val="24"/>
          <w:szCs w:val="24"/>
          <w:lang w:eastAsia="ru-RU"/>
        </w:rPr>
        <w:t> для юридических лиц.</w:t>
      </w:r>
    </w:p>
    <w:p w:rsidR="00E103C0" w:rsidRPr="00E103C0" w:rsidRDefault="00E103C0" w:rsidP="00E103C0">
      <w:pPr>
        <w:shd w:val="clear" w:color="auto" w:fill="F7F7F7"/>
        <w:spacing w:line="330" w:lineRule="atLeast"/>
        <w:ind w:firstLine="0"/>
        <w:rPr>
          <w:rFonts w:eastAsia="Times New Roman"/>
          <w:color w:val="332B22"/>
          <w:sz w:val="24"/>
          <w:szCs w:val="24"/>
          <w:lang w:eastAsia="ru-RU"/>
        </w:rPr>
      </w:pPr>
      <w:r w:rsidRPr="00E103C0">
        <w:rPr>
          <w:rFonts w:ascii="PT Serif" w:eastAsia="Times New Roman" w:hAnsi="PT Serif"/>
          <w:color w:val="332B22"/>
          <w:sz w:val="24"/>
          <w:szCs w:val="24"/>
          <w:bdr w:val="single" w:sz="6" w:space="0" w:color="CCCCCC" w:frame="1"/>
          <w:lang w:eastAsia="ru-RU"/>
        </w:rPr>
        <w:t>* «Уральский банк реконструкции и развития», 1990–2018. Лицензия ЦБ РФ № 429 от 06.02.2015.</w:t>
      </w:r>
    </w:p>
    <w:p w:rsidR="00626DEC" w:rsidRDefault="00E103C0" w:rsidP="00E103C0">
      <w:pPr>
        <w:ind w:firstLine="0"/>
        <w:rPr>
          <w:rFonts w:eastAsia="Times New Roman"/>
          <w:color w:val="333333"/>
          <w:sz w:val="21"/>
          <w:szCs w:val="21"/>
          <w:u w:val="single"/>
          <w:shd w:val="clear" w:color="auto" w:fill="F7F7F7"/>
          <w:lang w:eastAsia="ru-RU"/>
        </w:rPr>
      </w:pPr>
      <w:r w:rsidRPr="00E103C0">
        <w:rPr>
          <w:rFonts w:eastAsia="Times New Roman"/>
          <w:color w:val="000000"/>
          <w:sz w:val="21"/>
          <w:szCs w:val="21"/>
          <w:lang w:eastAsia="ru-RU"/>
        </w:rPr>
        <w:br/>
      </w:r>
      <w:r w:rsidRPr="00E103C0">
        <w:rPr>
          <w:rFonts w:eastAsia="Times New Roman"/>
          <w:color w:val="000000"/>
          <w:sz w:val="21"/>
          <w:szCs w:val="21"/>
          <w:lang w:eastAsia="ru-RU"/>
        </w:rPr>
        <w:br/>
      </w:r>
      <w:r w:rsidRPr="00E103C0">
        <w:rPr>
          <w:rFonts w:eastAsia="Times New Roman"/>
          <w:color w:val="000000"/>
          <w:sz w:val="21"/>
          <w:szCs w:val="21"/>
          <w:shd w:val="clear" w:color="auto" w:fill="F7F7F7"/>
          <w:lang w:eastAsia="ru-RU"/>
        </w:rPr>
        <w:t>Оригинал материала: </w:t>
      </w:r>
      <w:hyperlink r:id="rId9" w:history="1">
        <w:r w:rsidRPr="00E103C0">
          <w:rPr>
            <w:rFonts w:eastAsia="Times New Roman"/>
            <w:color w:val="333333"/>
            <w:sz w:val="21"/>
            <w:szCs w:val="21"/>
            <w:u w:val="single"/>
            <w:shd w:val="clear" w:color="auto" w:fill="F7F7F7"/>
            <w:lang w:eastAsia="ru-RU"/>
          </w:rPr>
          <w:t>http://chelyabinsk.74.ru/text/business/409514033881092.html</w:t>
        </w:r>
      </w:hyperlink>
    </w:p>
    <w:p w:rsidR="00906DA2" w:rsidRDefault="00C55B57" w:rsidP="00E103C0">
      <w:pPr>
        <w:ind w:firstLine="0"/>
      </w:pPr>
      <w:hyperlink r:id="rId10" w:history="1">
        <w:r w:rsidR="00906DA2" w:rsidRPr="003F52D3">
          <w:rPr>
            <w:rStyle w:val="a5"/>
          </w:rPr>
          <w:t>http://chelyabinsk.74.ru/text/business/409514033881092.html</w:t>
        </w:r>
      </w:hyperlink>
    </w:p>
    <w:p w:rsidR="00906DA2" w:rsidRDefault="00906DA2" w:rsidP="00E103C0">
      <w:pPr>
        <w:ind w:firstLine="0"/>
      </w:pPr>
    </w:p>
    <w:sectPr w:rsidR="00906DA2" w:rsidSect="00E103C0">
      <w:pgSz w:w="11906" w:h="16838"/>
      <w:pgMar w:top="1134" w:right="850" w:bottom="1134"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00"/>
    <w:rsid w:val="00626DEC"/>
    <w:rsid w:val="00772839"/>
    <w:rsid w:val="00906DA2"/>
    <w:rsid w:val="00C55B57"/>
    <w:rsid w:val="00E04100"/>
    <w:rsid w:val="00E10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3C0"/>
    <w:rPr>
      <w:rFonts w:ascii="Tahoma" w:hAnsi="Tahoma" w:cs="Tahoma"/>
      <w:sz w:val="16"/>
      <w:szCs w:val="16"/>
    </w:rPr>
  </w:style>
  <w:style w:type="character" w:customStyle="1" w:styleId="a4">
    <w:name w:val="Текст выноски Знак"/>
    <w:basedOn w:val="a0"/>
    <w:link w:val="a3"/>
    <w:uiPriority w:val="99"/>
    <w:semiHidden/>
    <w:rsid w:val="00E103C0"/>
    <w:rPr>
      <w:rFonts w:ascii="Tahoma" w:hAnsi="Tahoma" w:cs="Tahoma"/>
      <w:sz w:val="16"/>
      <w:szCs w:val="16"/>
    </w:rPr>
  </w:style>
  <w:style w:type="character" w:styleId="a5">
    <w:name w:val="Hyperlink"/>
    <w:basedOn w:val="a0"/>
    <w:uiPriority w:val="99"/>
    <w:unhideWhenUsed/>
    <w:rsid w:val="00906D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3C0"/>
    <w:rPr>
      <w:rFonts w:ascii="Tahoma" w:hAnsi="Tahoma" w:cs="Tahoma"/>
      <w:sz w:val="16"/>
      <w:szCs w:val="16"/>
    </w:rPr>
  </w:style>
  <w:style w:type="character" w:customStyle="1" w:styleId="a4">
    <w:name w:val="Текст выноски Знак"/>
    <w:basedOn w:val="a0"/>
    <w:link w:val="a3"/>
    <w:uiPriority w:val="99"/>
    <w:semiHidden/>
    <w:rsid w:val="00E103C0"/>
    <w:rPr>
      <w:rFonts w:ascii="Tahoma" w:hAnsi="Tahoma" w:cs="Tahoma"/>
      <w:sz w:val="16"/>
      <w:szCs w:val="16"/>
    </w:rPr>
  </w:style>
  <w:style w:type="character" w:styleId="a5">
    <w:name w:val="Hyperlink"/>
    <w:basedOn w:val="a0"/>
    <w:uiPriority w:val="99"/>
    <w:unhideWhenUsed/>
    <w:rsid w:val="00906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0053">
      <w:bodyDiv w:val="1"/>
      <w:marLeft w:val="0"/>
      <w:marRight w:val="0"/>
      <w:marTop w:val="0"/>
      <w:marBottom w:val="0"/>
      <w:divBdr>
        <w:top w:val="none" w:sz="0" w:space="0" w:color="auto"/>
        <w:left w:val="none" w:sz="0" w:space="0" w:color="auto"/>
        <w:bottom w:val="none" w:sz="0" w:space="0" w:color="auto"/>
        <w:right w:val="none" w:sz="0" w:space="0" w:color="auto"/>
      </w:divBdr>
      <w:divsChild>
        <w:div w:id="1346980333">
          <w:marLeft w:val="0"/>
          <w:marRight w:val="0"/>
          <w:marTop w:val="0"/>
          <w:marBottom w:val="0"/>
          <w:divBdr>
            <w:top w:val="none" w:sz="0" w:space="0" w:color="auto"/>
            <w:left w:val="none" w:sz="0" w:space="0" w:color="auto"/>
            <w:bottom w:val="none" w:sz="0" w:space="0" w:color="auto"/>
            <w:right w:val="none" w:sz="0" w:space="0" w:color="auto"/>
          </w:divBdr>
          <w:divsChild>
            <w:div w:id="1865249181">
              <w:marLeft w:val="0"/>
              <w:marRight w:val="0"/>
              <w:marTop w:val="0"/>
              <w:marBottom w:val="0"/>
              <w:divBdr>
                <w:top w:val="none" w:sz="0" w:space="0" w:color="auto"/>
                <w:left w:val="none" w:sz="0" w:space="0" w:color="auto"/>
                <w:bottom w:val="none" w:sz="0" w:space="0" w:color="auto"/>
                <w:right w:val="none" w:sz="0" w:space="0" w:color="auto"/>
              </w:divBdr>
            </w:div>
          </w:divsChild>
        </w:div>
        <w:div w:id="973950005">
          <w:marLeft w:val="0"/>
          <w:marRight w:val="0"/>
          <w:marTop w:val="0"/>
          <w:marBottom w:val="0"/>
          <w:divBdr>
            <w:top w:val="none" w:sz="0" w:space="0" w:color="auto"/>
            <w:left w:val="none" w:sz="0" w:space="0" w:color="auto"/>
            <w:bottom w:val="none" w:sz="0" w:space="0" w:color="auto"/>
            <w:right w:val="none" w:sz="0" w:space="0" w:color="auto"/>
          </w:divBdr>
          <w:divsChild>
            <w:div w:id="1371876386">
              <w:marLeft w:val="0"/>
              <w:marRight w:val="0"/>
              <w:marTop w:val="75"/>
              <w:marBottom w:val="75"/>
              <w:divBdr>
                <w:top w:val="none" w:sz="0" w:space="0" w:color="auto"/>
                <w:left w:val="none" w:sz="0" w:space="0" w:color="auto"/>
                <w:bottom w:val="none" w:sz="0" w:space="0" w:color="auto"/>
                <w:right w:val="none" w:sz="0" w:space="0" w:color="auto"/>
              </w:divBdr>
              <w:divsChild>
                <w:div w:id="1702978329">
                  <w:marLeft w:val="0"/>
                  <w:marRight w:val="0"/>
                  <w:marTop w:val="0"/>
                  <w:marBottom w:val="0"/>
                  <w:divBdr>
                    <w:top w:val="none" w:sz="0" w:space="0" w:color="auto"/>
                    <w:left w:val="none" w:sz="0" w:space="0" w:color="auto"/>
                    <w:bottom w:val="none" w:sz="0" w:space="0" w:color="auto"/>
                    <w:right w:val="none" w:sz="0" w:space="0" w:color="auto"/>
                  </w:divBdr>
                  <w:divsChild>
                    <w:div w:id="312871939">
                      <w:marLeft w:val="0"/>
                      <w:marRight w:val="0"/>
                      <w:marTop w:val="0"/>
                      <w:marBottom w:val="0"/>
                      <w:divBdr>
                        <w:top w:val="none" w:sz="0" w:space="0" w:color="auto"/>
                        <w:left w:val="none" w:sz="0" w:space="0" w:color="auto"/>
                        <w:bottom w:val="none" w:sz="0" w:space="0" w:color="auto"/>
                        <w:right w:val="none" w:sz="0" w:space="0" w:color="auto"/>
                      </w:divBdr>
                      <w:divsChild>
                        <w:div w:id="268320819">
                          <w:marLeft w:val="0"/>
                          <w:marRight w:val="0"/>
                          <w:marTop w:val="0"/>
                          <w:marBottom w:val="0"/>
                          <w:divBdr>
                            <w:top w:val="none" w:sz="0" w:space="0" w:color="auto"/>
                            <w:left w:val="none" w:sz="0" w:space="0" w:color="auto"/>
                            <w:bottom w:val="none" w:sz="0" w:space="0" w:color="auto"/>
                            <w:right w:val="none" w:sz="0" w:space="0" w:color="auto"/>
                          </w:divBdr>
                          <w:divsChild>
                            <w:div w:id="317226734">
                              <w:marLeft w:val="0"/>
                              <w:marRight w:val="0"/>
                              <w:marTop w:val="0"/>
                              <w:marBottom w:val="0"/>
                              <w:divBdr>
                                <w:top w:val="none" w:sz="0" w:space="0" w:color="auto"/>
                                <w:left w:val="none" w:sz="0" w:space="0" w:color="auto"/>
                                <w:bottom w:val="none" w:sz="0" w:space="0" w:color="auto"/>
                                <w:right w:val="none" w:sz="0" w:space="0" w:color="auto"/>
                              </w:divBdr>
                              <w:divsChild>
                                <w:div w:id="4735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rr.ru/ofisy-i-bankomaty?utm_source=74.ru&amp;utm_medium=news-20032018&amp;utm_campaing=C-00000295" TargetMode="External"/><Relationship Id="rId3" Type="http://schemas.openxmlformats.org/officeDocument/2006/relationships/settings" Target="settings.xml"/><Relationship Id="rId7" Type="http://schemas.openxmlformats.org/officeDocument/2006/relationships/hyperlink" Target="http://www.ubrr.ru/dlya-biznesa/garantii-i-akkreditivy/prochie-garantii-i-akkreditivy/tendernye-i-dogovornye-garantii?utm_source=74.ru&amp;utm_medium=news-20032018&amp;utm_campaing=C-00000295%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brr.ru/dlya-biznesa/garantii-i-akkreditivy/prochie-garantii-i-akkreditivy/tendernye-i-dogovornye-garantii?utm_source=%D0%BF%D0%BB%D0%BE%D1%89%D0%B0%D0%B4%D0%BA%D0%B0_%D0%B4%D0%BB%D1%8F_%D1%80%D0%B0%D0%B7%D0%BC%D0%B5%D1%89%D0%B5%D0%BD%D0%B8%D1%8F&amp;utm_medium=news-15032018&amp;utm_campaing=C-0000029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helyabinsk.74.ru/text/business/409514033881092.html" TargetMode="External"/><Relationship Id="rId4" Type="http://schemas.openxmlformats.org/officeDocument/2006/relationships/webSettings" Target="webSettings.xml"/><Relationship Id="rId9" Type="http://schemas.openxmlformats.org/officeDocument/2006/relationships/hyperlink" Target="http://chelyabinsk.74.ru/text/business/4095140338810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Владислав Ватутин</cp:lastModifiedBy>
  <cp:revision>5</cp:revision>
  <dcterms:created xsi:type="dcterms:W3CDTF">2018-03-20T10:27:00Z</dcterms:created>
  <dcterms:modified xsi:type="dcterms:W3CDTF">2018-03-20T12:29:00Z</dcterms:modified>
</cp:coreProperties>
</file>