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4E" w:rsidRDefault="002F074E" w:rsidP="00B2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237A7" w:rsidRPr="004B5542" w:rsidRDefault="004B5542" w:rsidP="00B2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33400" cy="685800"/>
            <wp:effectExtent l="0" t="0" r="0" b="0"/>
            <wp:wrapSquare wrapText="left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460">
        <w:rPr>
          <w:rFonts w:ascii="Arial" w:eastAsia="Times New Roman" w:hAnsi="Arial" w:cs="Arial"/>
          <w:sz w:val="28"/>
          <w:szCs w:val="28"/>
          <w:lang w:eastAsia="ru-RU"/>
        </w:rPr>
        <w:br w:type="textWrapping" w:clear="all"/>
      </w:r>
    </w:p>
    <w:p w:rsidR="00495460" w:rsidRPr="00495460" w:rsidRDefault="00495460" w:rsidP="00495460">
      <w:pPr>
        <w:tabs>
          <w:tab w:val="left" w:pos="1820"/>
          <w:tab w:val="left" w:pos="2220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КУНАШАКСКОГО </w:t>
      </w:r>
      <w:r w:rsidRPr="00495460">
        <w:rPr>
          <w:rFonts w:ascii="Times New Roman" w:eastAsia="Batang" w:hAnsi="Times New Roman" w:cs="Times New Roman"/>
          <w:sz w:val="28"/>
          <w:szCs w:val="28"/>
          <w:lang w:eastAsia="ru-RU"/>
        </w:rPr>
        <w:t>МУНИЦИПАЛЬНОГО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Pr="0049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B57ED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</w:t>
      </w:r>
      <w:r w:rsidR="00495460"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5460"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2023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</w:tblGrid>
      <w:tr w:rsidR="00495460" w:rsidRPr="00495460" w:rsidTr="00495460">
        <w:trPr>
          <w:trHeight w:val="2046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95460" w:rsidRPr="00495460" w:rsidRDefault="00495460" w:rsidP="0049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«Реализация национальной политики в </w:t>
            </w:r>
            <w:proofErr w:type="spellStart"/>
            <w:r w:rsidRPr="0049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Кунашакском</w:t>
            </w:r>
            <w:proofErr w:type="spellEnd"/>
            <w:r w:rsidRPr="0049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муниципальном районе Челябинской области  на 2024-2026 годы»</w:t>
            </w:r>
          </w:p>
        </w:tc>
      </w:tr>
    </w:tbl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и стратегией государственной национальной </w:t>
      </w:r>
      <w:r w:rsidR="00D7021E"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политики Российской Федерации</w:t>
      </w:r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района и в целях </w:t>
      </w:r>
      <w:r w:rsidR="00D7021E" w:rsidRPr="00D70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укрепления государственного единства и целостности Российской Федерации, сохранения этнокультурной самобытности ее народов</w:t>
      </w:r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proofErr w:type="spellStart"/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Кунашакского</w:t>
      </w:r>
      <w:proofErr w:type="spellEnd"/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на 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2024-2026 годы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495460" w:rsidRPr="00495460" w:rsidRDefault="00495460" w:rsidP="004954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="00943A3A"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национальной политики в </w:t>
      </w:r>
      <w:proofErr w:type="spellStart"/>
      <w:r w:rsidR="00943A3A"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="00943A3A"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 Челябинской области  на 2024-2026 годы»</w:t>
      </w:r>
      <w:r w:rsidR="0094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495460" w:rsidRPr="00495460" w:rsidRDefault="00495460" w:rsidP="004954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Начальнику отдела информационных технологий Администрации района Ватутину В.Р. опубликовать настоящее постановление на официальном сайте Администрации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5460" w:rsidRPr="00495460" w:rsidRDefault="00495460" w:rsidP="004954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муниципального района по социальным вопросам 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Нажметдинову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75A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                           </w:t>
      </w:r>
      <w:r w:rsidR="00B7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В.Р.Юсупова</w:t>
      </w:r>
      <w:proofErr w:type="spellEnd"/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Calibri"/>
          <w:sz w:val="28"/>
          <w:szCs w:val="28"/>
          <w:lang w:eastAsia="ru-RU"/>
        </w:rPr>
        <w:t>СОГЛАСОВАНО: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224"/>
      </w:tblGrid>
      <w:tr w:rsidR="00943A3A" w:rsidRPr="00943A3A" w:rsidTr="004B5542">
        <w:trPr>
          <w:trHeight w:val="663"/>
        </w:trPr>
        <w:tc>
          <w:tcPr>
            <w:tcW w:w="4786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Заместитель Главы</w:t>
            </w: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по социальным вопросам                                                     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А.Т. </w:t>
            </w:r>
            <w:proofErr w:type="spellStart"/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Нажметдинова</w:t>
            </w:r>
            <w:proofErr w:type="spellEnd"/>
          </w:p>
        </w:tc>
      </w:tr>
      <w:tr w:rsidR="00943A3A" w:rsidRPr="00943A3A" w:rsidTr="004B5542">
        <w:tc>
          <w:tcPr>
            <w:tcW w:w="4786" w:type="dxa"/>
          </w:tcPr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Начальник правового управления 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В.Р. Хусаинов</w:t>
            </w:r>
          </w:p>
        </w:tc>
      </w:tr>
      <w:tr w:rsidR="00943A3A" w:rsidRPr="00943A3A" w:rsidTr="004B5542">
        <w:tc>
          <w:tcPr>
            <w:tcW w:w="4786" w:type="dxa"/>
          </w:tcPr>
          <w:p w:rsidR="00943A3A" w:rsidRPr="00943A3A" w:rsidRDefault="00943A3A" w:rsidP="00943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аместитель Главы  по </w:t>
            </w:r>
            <w:proofErr w:type="gramStart"/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финансовым</w:t>
            </w:r>
            <w:proofErr w:type="gramEnd"/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вопросам-Руководитель Финансового  Управления администрации района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Р.Ф. Аюпова</w:t>
            </w:r>
          </w:p>
        </w:tc>
      </w:tr>
    </w:tbl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  <w:tab w:val="left" w:pos="6946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Pr="00943A3A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Рассылки:                                                                                                                                                              Отдел делопроизводства – 1 экз.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Заместитель  Главы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по социальным вопросам – 1 экз.</w:t>
      </w:r>
    </w:p>
    <w:p w:rsidR="00943A3A" w:rsidRDefault="00943A3A" w:rsidP="00943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</w:t>
      </w:r>
      <w:r w:rsidRPr="0094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экз.</w:t>
      </w:r>
    </w:p>
    <w:p w:rsidR="00B75A3F" w:rsidRPr="00943A3A" w:rsidRDefault="00B75A3F" w:rsidP="00943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отдел-1 экз.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Итого: 4 экз.                                                                                    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Подготовил: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Руководитель </w:t>
      </w: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МУ «Управление культуры»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Абдуллина Л.Ф.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8/35148/2-86-77</w:t>
      </w: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P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A3A" w:rsidRPr="00943A3A" w:rsidSect="0049546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95460" w:rsidRPr="00495460" w:rsidRDefault="004B57ED" w:rsidP="00495460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27.10.</w:t>
      </w:r>
      <w:r w:rsidR="00495460"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1728</w:t>
      </w:r>
    </w:p>
    <w:p w:rsidR="00495460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ПАСПОРТ </w:t>
      </w:r>
    </w:p>
    <w:p w:rsidR="005457A6" w:rsidRPr="005457A6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МУНИЦИПАЛЬНОЙ</w:t>
      </w:r>
      <w:r w:rsidR="005457A6"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Ы</w:t>
      </w:r>
    </w:p>
    <w:p w:rsidR="005457A6" w:rsidRPr="005457A6" w:rsidRDefault="005457A6" w:rsidP="00B273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«РЕАЛИЗАЦИЯ НАЦИОНАЛЬНОЙ ПОЛИТИКИ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В </w:t>
      </w:r>
      <w:r w:rsidR="00F237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КУНАШАКСКОМ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МУНИЦИПАЛЬНОМ РАЙОНЕ 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НА 20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4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- 202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6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ГОДЫ</w:t>
      </w:r>
      <w:r w:rsidRPr="00545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 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6675"/>
      </w:tblGrid>
      <w:tr w:rsidR="005457A6" w:rsidRPr="005457A6" w:rsidTr="00B273EB">
        <w:trPr>
          <w:trHeight w:val="48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B6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«Реализация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  на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(далее-Программы)</w:t>
            </w:r>
          </w:p>
        </w:tc>
      </w:tr>
      <w:tr w:rsidR="00F237A7" w:rsidRPr="005457A6" w:rsidTr="00495460">
        <w:trPr>
          <w:trHeight w:val="115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49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5457A6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237A7" w:rsidRPr="005457A6" w:rsidTr="00F237A7">
        <w:trPr>
          <w:trHeight w:val="243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F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CF345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образование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F237A7" w:rsidRDefault="00F237A7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учреждение «Управление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молодежной политики и информации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F237A7" w:rsidRPr="00F237A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по физической культуре и спорту администрации 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5457A6" w:rsidRPr="005457A6" w:rsidTr="00F237A7">
        <w:trPr>
          <w:trHeight w:val="566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программы        </w:t>
            </w:r>
          </w:p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реализация государственной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цивилизованное развитие представителей народов, проживающих на территории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      </w:r>
          </w:p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Создание условий для этнокультурного развития народов, проживающих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районе; </w:t>
            </w:r>
          </w:p>
          <w:p w:rsidR="005457A6" w:rsidRPr="005457A6" w:rsidRDefault="005457A6" w:rsidP="00B273EB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Научно-образовательное и </w:t>
            </w:r>
            <w:r w:rsidR="00D237CB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государственной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5457A6" w:rsidRPr="005457A6" w:rsidRDefault="005457A6" w:rsidP="00F237A7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36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 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F237A7" w:rsidP="00FB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                               </w:t>
            </w:r>
          </w:p>
        </w:tc>
      </w:tr>
      <w:tr w:rsidR="005457A6" w:rsidRPr="005457A6" w:rsidTr="00B273EB">
        <w:trPr>
          <w:trHeight w:val="1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и    источники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рублей за счет средств бюджета </w:t>
            </w:r>
            <w:proofErr w:type="spellStart"/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в том числе:</w:t>
            </w:r>
          </w:p>
          <w:p w:rsidR="005457A6" w:rsidRPr="00CF3457" w:rsidRDefault="00F237A7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495460" w:rsidRPr="0049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CF3457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</w:t>
            </w:r>
            <w:r w:rsidR="00B30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B30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объемы финансирования носят прогнозный характер и подлежат ежегодной корректировке с учетом возможностей бюджета Мензелинского муниципального района. </w:t>
            </w:r>
          </w:p>
        </w:tc>
      </w:tr>
      <w:tr w:rsidR="005457A6" w:rsidRPr="005457A6" w:rsidTr="00B273EB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  конечные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программы. Индикаторы оценки результатов программы.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Социально-экономическая эффективность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      </w:r>
            <w:proofErr w:type="spellStart"/>
            <w:r w:rsidR="003205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Кунашакском</w:t>
            </w:r>
            <w:proofErr w:type="spellEnd"/>
            <w:r w:rsidR="0032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, и выражается: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улучшении этнокультурного и социального самочувствия;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укреплении региональной и общероссийской гражданской идентичности;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эффективности использования этнокультурного потенциала;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предотвращении межнациональных и межрелигиозных конфликтов;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инвестиционной и туристической привлекательности региона;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системы мер, направленных на совершенствование социальной и культурной адаптации и интеграции мигрантов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Программы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межэтнических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F237A7" w:rsidRDefault="00F237A7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межконфессиональных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67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71,8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реализацией своих этнокультурных потребностей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54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  <w:p w:rsidR="00B273EB" w:rsidRPr="005457A6" w:rsidRDefault="00B273EB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исполнением   программы   осуществляет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5457A6" w:rsidRPr="005457A6" w:rsidRDefault="005457A6" w:rsidP="00B273E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АКТУАЛЬНОСТЬ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межнациональных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протяжений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лет остается стабильной, мирным взаимодействием и сотрудничестве представителей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этнических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 конфессий. </w:t>
      </w:r>
    </w:p>
    <w:p w:rsidR="00B273EB" w:rsidRDefault="005457A6" w:rsidP="000B5195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является полиэтничность и поликонфессиональность населения, развитие которых характеризуется тесным этнокультурным взаимовлиянием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взаимопроникновением традиций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D23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район народов.  Ведущую роль в данном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традиционно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представители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башкирского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народов,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большинство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представителям всех остальных народов, проживающих на территории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многонационален, проживает 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9998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 в районном центре – 16504 человек.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 проживают:</w:t>
      </w:r>
    </w:p>
    <w:p w:rsidR="00D34FE0" w:rsidRPr="005457A6" w:rsidRDefault="00D34FE0" w:rsidP="00D34FE0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башкиры-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14920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(49,74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татары-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10315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34,39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:rsidR="005457A6" w:rsidRPr="005457A6" w:rsidRDefault="009C0AE0" w:rsidP="009C0AE0">
      <w:pPr>
        <w:tabs>
          <w:tab w:val="lef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4137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13,79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- 132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0,44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(0,31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(0.8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1,01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9C0AE0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Кунашакского</w:t>
      </w:r>
      <w:proofErr w:type="spellEnd"/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на миграционный учет пост</w:t>
      </w:r>
      <w:r w:rsidR="009C0A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авлено 425 иностранных граждан.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был образован 20 августа 1930 года и находится в северо-восточной части Челябинской области.  На севере граничит со Свердловской и Курганской областями, на востоке - с Красноармейским районом, на юге – с Сосновским, на юго-западе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районами. Административный центр - с. Кунашак с населением более 6 тысяч человек.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состав района входят 9 муниципальных образований – сельские поселения: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Ашировское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Буринское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Кунашакское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Куяшское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Муслюмовское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Саринское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Урукульское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Усть-Багарякское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Халитовское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 72 населенными пунктами.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Северная часть территории района находятся в пределах Восточно-Уральского заповедника.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Памятниками природы в 1989 году объявлены: Клюквенное болото, оз. </w:t>
      </w:r>
      <w:proofErr w:type="spellStart"/>
      <w:r w:rsidRPr="003233E3">
        <w:rPr>
          <w:color w:val="052635"/>
        </w:rPr>
        <w:t>Чебакуль</w:t>
      </w:r>
      <w:proofErr w:type="spellEnd"/>
      <w:r w:rsidRPr="003233E3">
        <w:rPr>
          <w:color w:val="052635"/>
        </w:rPr>
        <w:t xml:space="preserve">, участок р. Багаряк от базы отдыха «Березка» до устья, участок р.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</w:t>
      </w:r>
      <w:proofErr w:type="gramStart"/>
      <w:r w:rsidRPr="003233E3">
        <w:rPr>
          <w:color w:val="052635"/>
        </w:rPr>
        <w:t>от</w:t>
      </w:r>
      <w:proofErr w:type="gramEnd"/>
      <w:r w:rsidRPr="003233E3">
        <w:rPr>
          <w:color w:val="052635"/>
        </w:rPr>
        <w:t xml:space="preserve"> с.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до устья.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В районе 16 памятников истории и культуры и 19 памятников архитектуры, в </w:t>
      </w:r>
      <w:proofErr w:type="spellStart"/>
      <w:r w:rsidRPr="003233E3">
        <w:rPr>
          <w:color w:val="052635"/>
        </w:rPr>
        <w:t>т.ч</w:t>
      </w:r>
      <w:proofErr w:type="spellEnd"/>
      <w:r w:rsidRPr="003233E3">
        <w:rPr>
          <w:color w:val="052635"/>
        </w:rPr>
        <w:t xml:space="preserve">. здания церквей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Б-Куяш и </w:t>
      </w:r>
      <w:proofErr w:type="spellStart"/>
      <w:r w:rsidRPr="003233E3">
        <w:rPr>
          <w:color w:val="052635"/>
        </w:rPr>
        <w:t>Урукуль</w:t>
      </w:r>
      <w:proofErr w:type="spellEnd"/>
      <w:r w:rsidRPr="003233E3">
        <w:rPr>
          <w:color w:val="052635"/>
        </w:rPr>
        <w:t xml:space="preserve">, мечетей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Кунашак и Муслюмово, бывшего клеевого завода (с. Муслюмово), интернат (д. </w:t>
      </w:r>
      <w:proofErr w:type="spellStart"/>
      <w:r w:rsidRPr="003233E3">
        <w:rPr>
          <w:color w:val="052635"/>
        </w:rPr>
        <w:t>Кулужбаево</w:t>
      </w:r>
      <w:proofErr w:type="spellEnd"/>
      <w:r w:rsidRPr="003233E3">
        <w:rPr>
          <w:color w:val="052635"/>
        </w:rPr>
        <w:t xml:space="preserve">), конезавод (д. </w:t>
      </w:r>
      <w:proofErr w:type="spellStart"/>
      <w:r w:rsidRPr="003233E3">
        <w:rPr>
          <w:color w:val="052635"/>
        </w:rPr>
        <w:t>Голубинка</w:t>
      </w:r>
      <w:proofErr w:type="spellEnd"/>
      <w:r w:rsidRPr="003233E3">
        <w:rPr>
          <w:color w:val="052635"/>
        </w:rPr>
        <w:t xml:space="preserve">), бывшего торгового дома, участковой больницы и школы в с. Б-Куяш, архитектурный ансамбль 7-этажной мельницы в </w:t>
      </w:r>
      <w:proofErr w:type="spellStart"/>
      <w:r w:rsidRPr="003233E3">
        <w:rPr>
          <w:color w:val="052635"/>
        </w:rPr>
        <w:t>с</w:t>
      </w:r>
      <w:proofErr w:type="gramStart"/>
      <w:r w:rsidRPr="003233E3">
        <w:rPr>
          <w:color w:val="052635"/>
        </w:rPr>
        <w:t>.М</w:t>
      </w:r>
      <w:proofErr w:type="gramEnd"/>
      <w:r w:rsidRPr="003233E3">
        <w:rPr>
          <w:color w:val="052635"/>
        </w:rPr>
        <w:t>услюмово</w:t>
      </w:r>
      <w:proofErr w:type="spellEnd"/>
      <w:r w:rsidRPr="003233E3">
        <w:rPr>
          <w:color w:val="052635"/>
        </w:rPr>
        <w:t>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По территории района проходит южно-уральская железная дорога из Челябинска в Каменск-Уральский и автомагистраль Челябинск-Екатеринбург.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населенных пунктах района действует 17 мечетей, в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конфессионном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составе в районе преобладают приверженцы ислама, т.к. 85% населения башкиры и татары.</w:t>
      </w:r>
    </w:p>
    <w:p w:rsidR="003233E3" w:rsidRPr="003233E3" w:rsidRDefault="003233E3" w:rsidP="003233E3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действуют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религиозные организации, в том числе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мусульманские,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Представители традиционных религиозных течений во время служб занимаются просветительской работой, в которой делают упор на недопущение религиозной и межконфессиональной розни среди жителей района. Лидеры духовенства принимают активное участие во всех районных мероприятиях. Занимаются просветительской работой в учебных заведениях и школах, на предприятиях и организациях района. Деятельность нетрадиционных религиозных объединений находится под постоянным контролем администрации района и силовых структур.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</w:t>
      </w:r>
      <w:proofErr w:type="spellStart"/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деятельности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экстремически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настроенных организаций, а также в ходе проведенных оперативных мероприятий преступлений, совершенных представителями религиозных и общественных объединений, а также с созданием и функционированием общественных и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религиозных объединений, деятельность которых направлена на распространение идей национальной розни и религиозного экстремизма не выявлено.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-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услуг. Однако из года в год в районе идет сокращение численности представителей малого и среднего бизнеса. На снижение количества малого и среднего бизнеса повлияло истечение срока действия договора в республиканских программах или не были признаны победителями, а также в связи с увеличением фиксированного платежа в Пенсионный фонд.</w:t>
      </w:r>
    </w:p>
    <w:p w:rsidR="005457A6" w:rsidRPr="005457A6" w:rsidRDefault="00CF3457" w:rsidP="00CF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зарегистрировано 4 политических партий (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Россия», « КПРФ», 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отделение  Партии Справедливая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оссия-За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равду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CF345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ЛДПР», а также общественные объединения и организации: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Конгресса татар Челябинской области», Курултай башкир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районный Совет ветеранов, Совет женщин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Всероссийского общества слепых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районная общественная организация «Память сердца - дети погибших защитников Отечества», районная общественная организация ветеранов «Боевое братство», районное литературное объединение «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тел» (Русский язык),  при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районной библиотеке им.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Даяна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Молодежное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 « Молодая гвардия».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партии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бщественные организации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принимают активное участие в развитии и процветании нашего района, в воспитании подрастающего поколения, разработке дополнительных мер, направленных на реализацию программных мероприятий и эффективности борьбы и профилактике терроризма и экстремизма в районе. Ими проводятся  работа по пропаганде здорового образа жизни, правового воспитания и повышения социальной активности несовершеннолетних и молодежи, предупреждении административных правонарушений среди молодежи, воссоздании системы социальной профилактики правонарушений, направленной, прежде всего, на активизацию борьбы с пьянством, алкоголизмом , наркоманией, преступностью, безнадзорностью, беспризорностью несовершеннолетних, по формированию толерантности в обществе, борьбе с ксенофобией и развитию межнациональных общений.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недостаточно организовано правовое просвещение мигрантов, работа по их социально-культурной адаптации интеграции в обществе, имеет место низкий уровень межкультурного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доверию между принимающим сообществом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мигрантами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межконфессиональных отношений.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гармонично формируется этническое и религиозное самосознание. В ряде случаев религиозная составляющая нивелирует исторически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сложившуюся этнокультурную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народов. Наблюдается проникновение нетрадиционных для района религиозных течений, порой приобретающих экстремистский характер.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накоплен положительный опыт по сохранению межнационального мира и согласия, ведется активная работа по искоренению рисков экстремизма в начальной стадии, повышению толерантности населения и преодолению этносоциальных и религиозных противоречий.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и общественно-политической ситуации в районе. </w:t>
      </w:r>
    </w:p>
    <w:p w:rsidR="005457A6" w:rsidRPr="005457A6" w:rsidRDefault="005457A6" w:rsidP="003233E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мероприятий и задач, вытекающих из Стратегии национальной политики  необходима муниципальная программа по реализации национальной политики 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районе, которая обеспечит создание необходимых условий для формирования толерантного, гуманного и уважительного отношения коренного населения, в особенности, молодежи, к представителям  иных этнических, конфессиональных сообществ и поддержания в  обществе межэтнического согласия, национальной и религиозной терпимости. </w:t>
      </w:r>
      <w:proofErr w:type="gramEnd"/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максимальное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потенциала местного самоуправления и различных институтов гражданского общества в деятельности, направленной на обеспечение межконфессионального, межэтнического мира и согласия в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противодействие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экстремизму, проявлениям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ксенофобии, национальной, расовой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 и этнической дискриминации на территории Мензелинского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C70934" w:rsidRDefault="005457A6" w:rsidP="00C70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</w:t>
      </w:r>
    </w:p>
    <w:p w:rsidR="005457A6" w:rsidRPr="005457A6" w:rsidRDefault="005457A6" w:rsidP="00C70934">
      <w:pPr>
        <w:spacing w:before="100" w:beforeAutospacing="1" w:after="100" w:afterAutospacing="1" w:line="240" w:lineRule="auto"/>
        <w:ind w:left="113" w:right="5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– реализация государственной национальной политики в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цивилизованное развитие представителей народов, проживающих на территории 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предполагает реализацию следующих задач: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Создание условий для этнокультурного развития народов, проживающих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районе;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Научно-образовательное 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государственной национальной политики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457A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Профилактика терроризма и экстремизма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комплексной информационной кампании и создание информационных ресурсов,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общественных инициатив и мероприятий,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в структуре органа исполнительной власти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call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-центра по приему информации о конфликтных ситуациях и обеспечение его деятельности;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социологических исследований с целью определения состояния и тенденций в сфере межнациональных и межконфессиональных отношений;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религиозно-политического экстремизма, ксенофобии и нетерпимости;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адаптации и интеграции мигрантов;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proofErr w:type="spellStart"/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</w:t>
      </w:r>
      <w:proofErr w:type="spellEnd"/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и сопровождение системы мониторинга состояния межнациональных отношений и раннего предупреждения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межнациональных конфликтов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образовательных мероприятий, направленных на распространение знаний о народах России;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квалификации государственных гражданских и муниципальных служащих, в компетенции которых находятся вопросы в сфере общегражданского единства и гармонизации межнациональных отношений.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оценки эффективности Программы используются целевые индикаторы Программы и показатели результативности ее реализации.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МЕРОПРИЯТИЯ ПРОГРАММЫ</w:t>
      </w:r>
    </w:p>
    <w:p w:rsidR="005457A6" w:rsidRPr="005457A6" w:rsidRDefault="0032346E" w:rsidP="0054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программы, выполняемых за счет средств местного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и 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осуществляемых за счет средств, предусмотренных в смете расходов учреждений, предприятий и организаций, приведены в </w:t>
      </w:r>
      <w:r w:rsidR="005457A6" w:rsidRPr="00545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реализуется с опорой на следующие направления: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кого экстремизма,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нетерпимости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 числе и в информационной среде;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государственной поддержки организациям, осуществляющим производство, распространение и тиражирование социально значимых проектов, ориентированных на укрепление межэтнического согласия.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поставленной в Программе задачи по с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озданию условий для этнокультурного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 народов, проживающих в </w:t>
      </w:r>
      <w:proofErr w:type="spellStart"/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Кунашакском</w:t>
      </w:r>
      <w:proofErr w:type="spellEnd"/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районе Челябинской области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языкового многообразия.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 поставленной в Программе задачи по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научно-образовательному и информационному обеспечению реализации государственной национальной политики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районе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информационной кампании и создание информационных ресурсов, направленных на укрепление патриотизма и 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системы мониторинга состояния межнациональных отношений и раннего предупреждения межнациональных конфликтов.</w:t>
      </w:r>
    </w:p>
    <w:p w:rsidR="00B273EB" w:rsidRDefault="00B273EB" w:rsidP="008B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7A6" w:rsidRPr="005457A6" w:rsidRDefault="005457A6" w:rsidP="00323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IV. 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МЕХАНИЗМ РЕАЛИЗАЦИИ ПРОГРАММЫ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ходе реализации мероприятий Программы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обеспечивает взаимодействие основных исполнителей, </w:t>
      </w:r>
      <w:proofErr w:type="gramStart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контроль за</w:t>
      </w:r>
      <w:proofErr w:type="gramEnd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ходом реализации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мероприятий и эффективным использованием средств исполнителями. 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Ежегодно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32346E"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отчитывается перед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собранием депутатов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 ходе реализации мероприятий Программы.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ОПИСАНИЕ СОЦИАЛЬНО – ЭКОНОМИЧЕСКОЙ ЭФФЕКТИВНОСТИ ПРОГРАММЫ</w:t>
      </w:r>
    </w:p>
    <w:p w:rsid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Основные результаты в этнокультурной сфере выражаются, как правило, в отложенном по времени социальном эффекте, в частности, в росте толерантности и уважения к культуре, языку и традициям представителей разных народов, позитивном изменении ценностных ориентаций и норм поведения людей, развитии единого этнокультурного пространства как важного фактора устойчивого развитии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32346E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Социально-экономический эффект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районе, и выражается: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улучшении этнокультурного и социального самочувствия;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укреплении региональной и общероссийской гражданской идентичности;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эффективности использования этнокультурного потенциала;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предотвращении межнациональных и межрелигиозных конфликтов;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инвестиционной и туристической привлекательности региона;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системы мер, направленных на совершенствование социальной и культурной адаптации и интеграции мигрантов. 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 объединить усилия органов местного самоуправления, институтов гражданского общества в вопросах упрочения российского общегражданского самосознания и духовной общности многонационального народа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ru-RU"/>
        </w:rPr>
        <w:t>Перечень мероприятий программы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7A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Реализация национальной политики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</w:t>
      </w:r>
      <w:proofErr w:type="spellStart"/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муниципальном районе </w:t>
      </w:r>
      <w:r w:rsidR="0032346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23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- 202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годы»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CF3457" w:rsidRPr="00CF3457" w:rsidTr="00CF3457"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задачи: 1. 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F3457" w:rsidRPr="00CF3457" w:rsidTr="00CF3457">
        <w:trPr>
          <w:trHeight w:val="3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F3457" w:rsidRPr="00CF3457" w:rsidTr="00CF3457">
        <w:trPr>
          <w:trHeight w:val="16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семинаров работников социальной сферы района по предупреждению межнациональных конфликтов.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32346E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напряжённости в сфере межнационального взаимодействия. </w:t>
            </w:r>
          </w:p>
        </w:tc>
      </w:tr>
      <w:tr w:rsidR="00CF3457" w:rsidRPr="00CF3457" w:rsidTr="00CF3457">
        <w:trPr>
          <w:trHeight w:val="69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 </w:t>
            </w:r>
          </w:p>
        </w:tc>
      </w:tr>
      <w:tr w:rsidR="00CF3457" w:rsidRPr="00CF3457" w:rsidTr="00CF3457">
        <w:trPr>
          <w:trHeight w:val="11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793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Территория дружбы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4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одарённых детей в </w:t>
            </w:r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конкурсах «Татар кызы-2023», «</w:t>
            </w:r>
            <w:proofErr w:type="spellStart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энжеляр-2023»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детей и подростков</w:t>
            </w:r>
          </w:p>
        </w:tc>
      </w:tr>
      <w:tr w:rsidR="00CF3457" w:rsidRPr="00CF3457" w:rsidTr="00CF3457">
        <w:trPr>
          <w:trHeight w:val="12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181F2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образования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7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</w:t>
            </w:r>
            <w:r w:rsidR="00181F2E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школьников и студентов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</w:tbl>
    <w:p w:rsidR="008B38AF" w:rsidRDefault="008B38AF"/>
    <w:p w:rsidR="008B38AF" w:rsidRDefault="008B38AF"/>
    <w:p w:rsidR="008B38AF" w:rsidRDefault="008B38AF"/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5457A6" w:rsidRPr="00CF3457" w:rsidTr="005457A6">
        <w:trPr>
          <w:trHeight w:val="710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2.Создание условий для этнокультурного развития народов, проживающих в </w:t>
            </w:r>
            <w:proofErr w:type="spellStart"/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5457A6" w:rsidRPr="00CF3457" w:rsidTr="005457A6">
        <w:trPr>
          <w:trHeight w:val="6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2346E" w:rsidRPr="00CF3457" w:rsidTr="005457A6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proofErr w:type="spellStart"/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национального праздника «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народов.</w:t>
            </w:r>
          </w:p>
        </w:tc>
      </w:tr>
      <w:tr w:rsidR="0032346E" w:rsidRPr="00CF3457" w:rsidTr="00CF3457">
        <w:trPr>
          <w:trHeight w:val="10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одарённых детей района в </w:t>
            </w:r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и  международных конкурсах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Организация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лучших фольклорных коллективов района в областных и  Всероссийских фестивалях (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Уралым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18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муниципальном районе:</w:t>
            </w:r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«Сабантуй», «Масленица широкая», «Светлая пасха» и др.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5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слет «УМ – Успех и молодость»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2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творческих тематических танцевальных вечеров, дискотек «Территория дружбы»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1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6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родного языка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районный краеведческий музей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праздника поэзии, посвященного дню рождения поэта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Ирика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праздника поэзии, посвященного дню рождения Г. Тукая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на соискание премии им. К.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Проведение сбалансированной межнациональной политики</w:t>
            </w:r>
          </w:p>
        </w:tc>
      </w:tr>
      <w:tr w:rsidR="005457A6" w:rsidRPr="00CF3457" w:rsidTr="005457A6">
        <w:trPr>
          <w:trHeight w:val="555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Научно-образовательное и информационное обеспечение «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457A6" w:rsidRPr="00CF3457" w:rsidTr="005457A6">
        <w:trPr>
          <w:trHeight w:val="5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конференции, встречи с 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сохранения и развития славянской культуры» с участием общественной организации «Славянка»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26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кабинетов родного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3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</w:t>
            </w:r>
          </w:p>
        </w:tc>
      </w:tr>
      <w:tr w:rsidR="00FB6ACC" w:rsidRPr="00CF3457" w:rsidTr="008B38AF">
        <w:trPr>
          <w:trHeight w:val="2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Сбалансированная межнациональная политика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1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межнациональных и межконфессиональных отношений в </w:t>
            </w:r>
            <w:proofErr w:type="spell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Кунашакском</w:t>
            </w:r>
            <w:proofErr w:type="spellEnd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</w:tbl>
    <w:p w:rsidR="005457A6" w:rsidRPr="005457A6" w:rsidRDefault="005457A6" w:rsidP="00D2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7A6" w:rsidRPr="005457A6" w:rsidSect="00F237A7">
          <w:pgSz w:w="12240" w:h="15840"/>
          <w:pgMar w:top="567" w:right="851" w:bottom="426" w:left="1701" w:header="720" w:footer="720" w:gutter="0"/>
          <w:cols w:space="720"/>
        </w:sectPr>
      </w:pPr>
    </w:p>
    <w:p w:rsidR="00D237CB" w:rsidRPr="005457A6" w:rsidRDefault="005457A6" w:rsidP="00D237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VII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 Программные мероприятия</w:t>
      </w:r>
    </w:p>
    <w:tbl>
      <w:tblPr>
        <w:tblW w:w="1250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105"/>
        <w:gridCol w:w="1701"/>
        <w:gridCol w:w="1843"/>
        <w:gridCol w:w="1417"/>
        <w:gridCol w:w="1417"/>
        <w:gridCol w:w="1418"/>
      </w:tblGrid>
      <w:tr w:rsidR="00C812C5" w:rsidRPr="00690D11" w:rsidTr="000311B7">
        <w:trPr>
          <w:gridAfter w:val="3"/>
          <w:wAfter w:w="4252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финансирования</w:t>
            </w:r>
          </w:p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C812C5" w:rsidRPr="00690D11" w:rsidTr="000311B7">
        <w:trPr>
          <w:cantSplit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before="100" w:beforeAutospacing="1" w:after="100" w:afterAutospacing="1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ind w:left="-58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работников КДУ района по предупреждению межнациональных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="00C812C5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14614D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614D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14614D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B307C2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Проведение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="00B8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807793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дружбы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B307C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5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87AF8" w:rsidRPr="00690D11" w:rsidRDefault="00B87AF8" w:rsidP="00B8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Отдел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8C6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Участие одарённых детей в 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областных конкурсах «Татар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энжеляр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B307C2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образования 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Кунашакского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 среди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B307C2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этнокультурного развития народов, проживающих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Кунашакском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национального праздника</w:t>
            </w:r>
          </w:p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B307C2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5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одарённых детей района в областных, региональных, международных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B307C2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Организация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B307C2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2.4 Участие лучших фольклорных коллективов района в областных и  Всероссийских фестивалях (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Уралым</w:t>
            </w:r>
            <w:proofErr w:type="gram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авруз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и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районе: «Сабантуй»,</w:t>
            </w:r>
          </w:p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широкая»,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«Светлая пасха»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  <w:p w:rsidR="00BE1995" w:rsidRDefault="00B87AF8" w:rsidP="00B8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B87AF8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2.12 Молодежный слет «УМ – Успех и молодость»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тематических танцевальных вечеров, дискотек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чтецов «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Джалиловские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декады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0311B7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районный краеведческий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поэзии, посвященного дню рождения</w:t>
            </w:r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поэта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Ирика</w:t>
            </w:r>
            <w:proofErr w:type="spellEnd"/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Районный конкурс на соискание 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им. К.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B307C2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740A2" w:rsidRDefault="004740A2" w:rsidP="00B87AF8">
      <w:pPr>
        <w:jc w:val="center"/>
      </w:pPr>
    </w:p>
    <w:tbl>
      <w:tblPr>
        <w:tblW w:w="1466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49"/>
        <w:gridCol w:w="1672"/>
        <w:gridCol w:w="1843"/>
        <w:gridCol w:w="1134"/>
        <w:gridCol w:w="1418"/>
        <w:gridCol w:w="236"/>
        <w:gridCol w:w="934"/>
        <w:gridCol w:w="810"/>
        <w:gridCol w:w="9"/>
        <w:gridCol w:w="183"/>
        <w:gridCol w:w="44"/>
        <w:gridCol w:w="9"/>
        <w:gridCol w:w="851"/>
        <w:gridCol w:w="100"/>
        <w:gridCol w:w="44"/>
        <w:gridCol w:w="92"/>
        <w:gridCol w:w="144"/>
        <w:gridCol w:w="689"/>
      </w:tblGrid>
      <w:tr w:rsidR="00D237CB" w:rsidRPr="005457A6" w:rsidTr="002A5083">
        <w:trPr>
          <w:gridAfter w:val="10"/>
          <w:wAfter w:w="2165" w:type="dxa"/>
        </w:trPr>
        <w:tc>
          <w:tcPr>
            <w:tcW w:w="1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Научно-образовательное и информационное обеспечение «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конференции, встречи с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B307C2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64462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«Вопросы сохранения и развития славянской культуры» с участием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«Славянка»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кабинетов родного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B307C2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0311B7" w:rsidP="00031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B307C2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мониторинга состояния межнациональных и межконфессиональных отношений в </w:t>
            </w:r>
            <w:proofErr w:type="spellStart"/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Кунашакском</w:t>
            </w:r>
            <w:proofErr w:type="spellEnd"/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муниципальном районе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 при главе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1"/>
          <w:wAfter w:w="68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8C6145" w:rsidRDefault="00B307C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CCF" w:rsidRDefault="006F1CCF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62" w:rsidRPr="00D237CB" w:rsidRDefault="00164462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4462" w:rsidRPr="00D237CB" w:rsidSect="00D10F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6"/>
    <w:rsid w:val="000311B7"/>
    <w:rsid w:val="000B5195"/>
    <w:rsid w:val="0014614D"/>
    <w:rsid w:val="00164462"/>
    <w:rsid w:val="00181F2E"/>
    <w:rsid w:val="002331C3"/>
    <w:rsid w:val="002A5083"/>
    <w:rsid w:val="002F074E"/>
    <w:rsid w:val="003205B5"/>
    <w:rsid w:val="003233E3"/>
    <w:rsid w:val="0032346E"/>
    <w:rsid w:val="0039435C"/>
    <w:rsid w:val="00395AFB"/>
    <w:rsid w:val="004740A2"/>
    <w:rsid w:val="00495460"/>
    <w:rsid w:val="004B5542"/>
    <w:rsid w:val="004B57ED"/>
    <w:rsid w:val="00522F1F"/>
    <w:rsid w:val="005457A6"/>
    <w:rsid w:val="00583DE7"/>
    <w:rsid w:val="005D0EDD"/>
    <w:rsid w:val="005D2276"/>
    <w:rsid w:val="00690D11"/>
    <w:rsid w:val="006F1CCF"/>
    <w:rsid w:val="006F581B"/>
    <w:rsid w:val="00773335"/>
    <w:rsid w:val="007F3867"/>
    <w:rsid w:val="00807793"/>
    <w:rsid w:val="00810990"/>
    <w:rsid w:val="008B38AF"/>
    <w:rsid w:val="008C6145"/>
    <w:rsid w:val="00943A3A"/>
    <w:rsid w:val="009C0AE0"/>
    <w:rsid w:val="00B273EB"/>
    <w:rsid w:val="00B307C2"/>
    <w:rsid w:val="00B75A3F"/>
    <w:rsid w:val="00B87AF8"/>
    <w:rsid w:val="00BE08C6"/>
    <w:rsid w:val="00BE1995"/>
    <w:rsid w:val="00C4059A"/>
    <w:rsid w:val="00C70934"/>
    <w:rsid w:val="00C812C5"/>
    <w:rsid w:val="00CF3457"/>
    <w:rsid w:val="00D10FC3"/>
    <w:rsid w:val="00D14B20"/>
    <w:rsid w:val="00D21F19"/>
    <w:rsid w:val="00D237CB"/>
    <w:rsid w:val="00D34FE0"/>
    <w:rsid w:val="00D7021E"/>
    <w:rsid w:val="00DE577C"/>
    <w:rsid w:val="00F237A7"/>
    <w:rsid w:val="00F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2025-01-17T07:30:00Z</cp:lastPrinted>
  <dcterms:created xsi:type="dcterms:W3CDTF">2024-12-13T09:26:00Z</dcterms:created>
  <dcterms:modified xsi:type="dcterms:W3CDTF">2025-01-17T09:27:00Z</dcterms:modified>
</cp:coreProperties>
</file>